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73228346456688" w:firstLine="0"/>
        <w:rPr>
          <w:b w:val="1"/>
          <w:bCs w:val="1"/>
          <w:sz w:val="28"/>
          <w:szCs w:val="28"/>
        </w:rPr>
      </w:pPr>
      <w:r w:rsidDel="00000000" w:rsidR="00000000" w:rsidRPr="00000000">
        <w:rPr>
          <w:b w:val="1"/>
          <w:bCs w:val="1"/>
          <w:sz w:val="28"/>
          <w:szCs w:val="28"/>
        </w:rPr>
        <w:drawing>
          <wp:inline distB="114300" distT="114300" distL="114300" distR="114300">
            <wp:extent cx="2238058" cy="223805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38058" cy="2238058"/>
                    </a:xfrm>
                    <a:prstGeom prst="rect"/>
                    <a:ln/>
                  </pic:spPr>
                </pic:pic>
              </a:graphicData>
            </a:graphic>
          </wp:inline>
        </w:drawing>
      </w:r>
      <w:r w:rsidDel="00000000" w:rsidR="00000000" w:rsidRPr="00000000">
        <w:rPr>
          <w:b w:val="1"/>
          <w:bCs w:val="1"/>
          <w:sz w:val="28"/>
          <w:szCs w:val="28"/>
        </w:rPr>
        <w:drawing>
          <wp:inline distB="114300" distT="114300" distL="114300" distR="114300">
            <wp:extent cx="2985140" cy="999807"/>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985140" cy="9998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rPr>
          <w:b w:val="1"/>
          <w:bCs w:val="1"/>
          <w:sz w:val="28"/>
          <w:szCs w:val="28"/>
        </w:rPr>
      </w:pPr>
      <w:r w:rsidDel="00000000" w:rsidR="00000000" w:rsidRPr="00000000">
        <w:rPr>
          <w:b w:val="1"/>
          <w:bCs w:val="1"/>
          <w:sz w:val="28"/>
          <w:szCs w:val="28"/>
          <w:rtl w:val="0"/>
        </w:rPr>
        <w:t xml:space="preserve">Amendement </w:t>
        <w:br w:type="textWrapping"/>
        <w:t xml:space="preserve">Art. 57 RvO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21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68"/>
        <w:gridCol w:w="7544"/>
        <w:tblGridChange w:id="0">
          <w:tblGrid>
            <w:gridCol w:w="1668"/>
            <w:gridCol w:w="7544"/>
          </w:tblGrid>
        </w:tblGridChange>
      </w:tblGrid>
      <w:tr>
        <w:trPr>
          <w:cantSplit w:val="0"/>
          <w:tblHeader w:val="0"/>
        </w:trPr>
        <w:tc>
          <w:tcPr>
            <w:vAlign w:val="cente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49"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Datum indiening</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superscript"/>
              </w:rPr>
              <w:footnoteReference w:customMarkFollows="0" w:id="0"/>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t>
            </w:r>
          </w:p>
        </w:tc>
        <w:tc>
          <w:tcPr/>
          <w:p w:rsidR="00000000" w:rsidDel="00000000" w:rsidP="00000000" w:rsidRDefault="00000000" w:rsidRPr="00000000" w14:paraId="00000006">
            <w:pPr>
              <w:rPr>
                <w:sz w:val="20"/>
                <w:szCs w:val="20"/>
              </w:rPr>
            </w:pPr>
            <w:r w:rsidDel="00000000" w:rsidR="00000000" w:rsidRPr="00000000">
              <w:rPr>
                <w:rtl w:val="0"/>
              </w:rPr>
              <w:t xml:space="preserve">24 februari 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Naam indieners:</w:t>
            </w:r>
          </w:p>
        </w:tc>
        <w:tc>
          <w:tcPr/>
          <w:p w:rsidR="00000000" w:rsidDel="00000000" w:rsidP="00000000" w:rsidRDefault="00000000" w:rsidRPr="00000000" w14:paraId="00000008">
            <w:pPr>
              <w:rPr>
                <w:sz w:val="20"/>
                <w:szCs w:val="20"/>
              </w:rPr>
            </w:pPr>
            <w:r w:rsidDel="00000000" w:rsidR="00000000" w:rsidRPr="00000000">
              <w:rPr>
                <w:rtl w:val="0"/>
              </w:rPr>
              <w:t xml:space="preserve">Maartje Greunsven, Mark Jan Prins</w:t>
            </w:r>
            <w:r w:rsidDel="00000000" w:rsidR="00000000" w:rsidRPr="00000000">
              <w:rPr>
                <w:rtl w:val="0"/>
              </w:rPr>
            </w:r>
          </w:p>
        </w:tc>
      </w:tr>
    </w:tbl>
    <w:p w:rsidR="00000000" w:rsidDel="00000000" w:rsidP="00000000" w:rsidRDefault="00000000" w:rsidRPr="00000000" w14:paraId="00000009">
      <w:pPr>
        <w:pBdr>
          <w:bottom w:color="000000" w:space="1" w:sz="4" w:val="single"/>
        </w:pBd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Onderwerp</w:t>
      </w:r>
      <w:r w:rsidDel="00000000" w:rsidR="00000000" w:rsidRPr="00000000">
        <w:rPr>
          <w:rtl w:val="0"/>
        </w:rPr>
        <w:t xml:space="preserve">: Gebiedsverkenning Entree-Oost (D/2026/171254, Z/2026/048280)</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Bdr>
          <w:bottom w:color="000000" w:space="1" w:sz="4" w:val="single"/>
        </w:pBdr>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4"/>
          <w:szCs w:val="24"/>
          <w:rtl w:val="0"/>
        </w:rPr>
        <w:t xml:space="preserve">De gemeenteraad van Landsmeer in vergadering bijeen op: Donderdag 5 maart 2026, gehoord hebbende de beraadslaging en de insprekers op de commissievergadering van 19 februari 2026 en gelezen hebbend de stukken waarnaar gerefereerd wordt,</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Constaterende dat,</w:t>
      </w:r>
    </w:p>
    <w:p w:rsidR="00000000" w:rsidDel="00000000" w:rsidP="00000000" w:rsidRDefault="00000000" w:rsidRPr="00000000" w14:paraId="0000000F">
      <w:pPr>
        <w:numPr>
          <w:ilvl w:val="0"/>
          <w:numId w:val="2"/>
        </w:numPr>
        <w:spacing w:after="0" w:lineRule="auto"/>
        <w:ind w:left="720" w:hanging="360"/>
        <w:rPr>
          <w:sz w:val="24"/>
          <w:szCs w:val="24"/>
        </w:rPr>
      </w:pPr>
      <w:r w:rsidDel="00000000" w:rsidR="00000000" w:rsidRPr="00000000">
        <w:rPr>
          <w:sz w:val="24"/>
          <w:szCs w:val="24"/>
          <w:rtl w:val="0"/>
        </w:rPr>
        <w:t xml:space="preserve">Gemeenten volgens de Europese Natuurherstelwet 2024 hun groengebieden moeten behouden; </w:t>
      </w:r>
      <w:r w:rsidDel="00000000" w:rsidR="00000000" w:rsidRPr="00000000">
        <w:rPr>
          <w:rtl w:val="0"/>
        </w:rPr>
      </w:r>
    </w:p>
    <w:p w:rsidR="00000000" w:rsidDel="00000000" w:rsidP="00000000" w:rsidRDefault="00000000" w:rsidRPr="00000000" w14:paraId="00000010">
      <w:pPr>
        <w:numPr>
          <w:ilvl w:val="0"/>
          <w:numId w:val="2"/>
        </w:numPr>
        <w:spacing w:after="0" w:lineRule="auto"/>
        <w:ind w:left="720" w:hanging="360"/>
        <w:rPr>
          <w:sz w:val="24"/>
          <w:szCs w:val="24"/>
        </w:rPr>
      </w:pPr>
      <w:r w:rsidDel="00000000" w:rsidR="00000000" w:rsidRPr="00000000">
        <w:rPr>
          <w:sz w:val="24"/>
          <w:szCs w:val="24"/>
          <w:rtl w:val="0"/>
        </w:rPr>
        <w:t xml:space="preserve">De natuur met rasse schreden achteruit gaat, ook in Landsmeer;</w:t>
      </w:r>
      <w:r w:rsidDel="00000000" w:rsidR="00000000" w:rsidRPr="00000000">
        <w:rPr>
          <w:rtl w:val="0"/>
        </w:rPr>
      </w:r>
    </w:p>
    <w:p w:rsidR="00000000" w:rsidDel="00000000" w:rsidP="00000000" w:rsidRDefault="00000000" w:rsidRPr="00000000" w14:paraId="00000011">
      <w:pPr>
        <w:numPr>
          <w:ilvl w:val="0"/>
          <w:numId w:val="2"/>
        </w:numPr>
        <w:spacing w:after="0" w:lineRule="auto"/>
        <w:ind w:left="720" w:hanging="360"/>
        <w:rPr>
          <w:sz w:val="24"/>
          <w:szCs w:val="24"/>
        </w:rPr>
      </w:pPr>
      <w:r w:rsidDel="00000000" w:rsidR="00000000" w:rsidRPr="00000000">
        <w:rPr>
          <w:sz w:val="24"/>
          <w:szCs w:val="24"/>
          <w:rtl w:val="0"/>
        </w:rPr>
        <w:t xml:space="preserve">Landsmeer de woningbouwopgave (vastgelegd in de Woondeal MRA 2023) van 150 geplande woningen al heeft behaald middels plannen tot inbreiding binnen de bebouwde kom;</w:t>
      </w:r>
    </w:p>
    <w:p w:rsidR="00000000" w:rsidDel="00000000" w:rsidP="00000000" w:rsidRDefault="00000000" w:rsidRPr="00000000" w14:paraId="00000012">
      <w:pPr>
        <w:numPr>
          <w:ilvl w:val="0"/>
          <w:numId w:val="2"/>
        </w:numPr>
        <w:spacing w:after="0" w:lineRule="auto"/>
        <w:ind w:left="720" w:hanging="360"/>
        <w:rPr>
          <w:sz w:val="24"/>
          <w:szCs w:val="24"/>
          <w:u w:val="none"/>
        </w:rPr>
      </w:pPr>
      <w:r w:rsidDel="00000000" w:rsidR="00000000" w:rsidRPr="00000000">
        <w:rPr>
          <w:sz w:val="24"/>
          <w:szCs w:val="24"/>
          <w:rtl w:val="0"/>
        </w:rPr>
        <w:t xml:space="preserve">Landsmeer een dubbel vergrijsde inwoneraantal heeft (er zijn veel inwoners tussen de 75 en 85 jaar); hierdoor zullen tussen 2030 en 2040 vele woningen vrijkomen, door doorstroming naar verpleeghuizen of overlijden;</w:t>
      </w:r>
    </w:p>
    <w:p w:rsidR="00000000" w:rsidDel="00000000" w:rsidP="00000000" w:rsidRDefault="00000000" w:rsidRPr="00000000" w14:paraId="00000013">
      <w:pPr>
        <w:numPr>
          <w:ilvl w:val="0"/>
          <w:numId w:val="2"/>
        </w:numPr>
        <w:spacing w:after="0" w:lineRule="auto"/>
        <w:ind w:left="720" w:hanging="360"/>
        <w:rPr>
          <w:sz w:val="24"/>
          <w:szCs w:val="24"/>
        </w:rPr>
      </w:pPr>
      <w:r w:rsidDel="00000000" w:rsidR="00000000" w:rsidRPr="00000000">
        <w:rPr>
          <w:sz w:val="24"/>
          <w:szCs w:val="24"/>
          <w:rtl w:val="0"/>
        </w:rPr>
        <w:t xml:space="preserve">Het Wijkpark een biotoop is van allerlei leven, zoals de vleermuis, de mus en de egel. De decennia oude bomen bieden beschutting tegen hitte op warme dagen en zetten kooldioxide om in zuurstof;</w:t>
      </w:r>
      <w:r w:rsidDel="00000000" w:rsidR="00000000" w:rsidRPr="00000000">
        <w:rPr>
          <w:rtl w:val="0"/>
        </w:rPr>
      </w:r>
    </w:p>
    <w:p w:rsidR="00000000" w:rsidDel="00000000" w:rsidP="00000000" w:rsidRDefault="00000000" w:rsidRPr="00000000" w14:paraId="00000014">
      <w:pPr>
        <w:numPr>
          <w:ilvl w:val="0"/>
          <w:numId w:val="2"/>
        </w:numPr>
        <w:ind w:left="720" w:hanging="360"/>
        <w:rPr>
          <w:sz w:val="24"/>
          <w:szCs w:val="24"/>
        </w:rPr>
      </w:pPr>
      <w:r w:rsidDel="00000000" w:rsidR="00000000" w:rsidRPr="00000000">
        <w:rPr>
          <w:sz w:val="24"/>
          <w:szCs w:val="24"/>
          <w:rtl w:val="0"/>
        </w:rPr>
        <w:t xml:space="preserve">Het betreffende verkenningsgebied de status Beschermd Landschap heeft, dit bestaat uit veenweidegrond, het Landsmeerderveld geheten. Dit vormt een grote groene buffer tussen Landsmeer en het volgebouwde Amsterdam.</w:t>
      </w:r>
    </w:p>
    <w:p w:rsidR="00000000" w:rsidDel="00000000" w:rsidP="00000000" w:rsidRDefault="00000000" w:rsidRPr="00000000" w14:paraId="00000015">
      <w:pPr>
        <w:rPr>
          <w:sz w:val="24"/>
          <w:szCs w:val="24"/>
        </w:rPr>
      </w:pPr>
      <w:r w:rsidDel="00000000" w:rsidR="00000000" w:rsidRPr="00000000">
        <w:rPr>
          <w:sz w:val="24"/>
          <w:szCs w:val="24"/>
          <w:rtl w:val="0"/>
        </w:rPr>
        <w:t xml:space="preserve">Overwegende dat,</w:t>
      </w:r>
    </w:p>
    <w:p w:rsidR="00000000" w:rsidDel="00000000" w:rsidP="00000000" w:rsidRDefault="00000000" w:rsidRPr="00000000" w14:paraId="00000016">
      <w:pPr>
        <w:numPr>
          <w:ilvl w:val="0"/>
          <w:numId w:val="3"/>
        </w:numPr>
        <w:spacing w:after="0" w:lineRule="auto"/>
        <w:ind w:left="720" w:hanging="360"/>
        <w:rPr>
          <w:sz w:val="24"/>
          <w:szCs w:val="24"/>
        </w:rPr>
      </w:pPr>
      <w:r w:rsidDel="00000000" w:rsidR="00000000" w:rsidRPr="00000000">
        <w:rPr>
          <w:sz w:val="24"/>
          <w:szCs w:val="24"/>
          <w:rtl w:val="0"/>
        </w:rPr>
        <w:t xml:space="preserve">Deze veenweidegrond aan verschillende weidevogels een fourageerplek en nestelplek biedt zoals de kiviet en de scholekster;</w:t>
      </w:r>
      <w:r w:rsidDel="00000000" w:rsidR="00000000" w:rsidRPr="00000000">
        <w:rPr>
          <w:rtl w:val="0"/>
        </w:rPr>
      </w:r>
    </w:p>
    <w:p w:rsidR="00000000" w:rsidDel="00000000" w:rsidP="00000000" w:rsidRDefault="00000000" w:rsidRPr="00000000" w14:paraId="00000017">
      <w:pPr>
        <w:numPr>
          <w:ilvl w:val="0"/>
          <w:numId w:val="3"/>
        </w:numPr>
        <w:spacing w:after="0" w:lineRule="auto"/>
        <w:ind w:left="720" w:hanging="360"/>
        <w:rPr>
          <w:sz w:val="24"/>
          <w:szCs w:val="24"/>
        </w:rPr>
      </w:pPr>
      <w:r w:rsidDel="00000000" w:rsidR="00000000" w:rsidRPr="00000000">
        <w:rPr>
          <w:sz w:val="24"/>
          <w:szCs w:val="24"/>
          <w:rtl w:val="0"/>
        </w:rPr>
        <w:t xml:space="preserve">Wij ervoor moeten waken dat de dorpskern Landsmeer groenlandelijk en dorps blijft;</w:t>
      </w:r>
      <w:r w:rsidDel="00000000" w:rsidR="00000000" w:rsidRPr="00000000">
        <w:rPr>
          <w:rtl w:val="0"/>
        </w:rPr>
      </w:r>
    </w:p>
    <w:p w:rsidR="00000000" w:rsidDel="00000000" w:rsidP="00000000" w:rsidRDefault="00000000" w:rsidRPr="00000000" w14:paraId="00000018">
      <w:pPr>
        <w:numPr>
          <w:ilvl w:val="0"/>
          <w:numId w:val="3"/>
        </w:numPr>
        <w:spacing w:after="0" w:lineRule="auto"/>
        <w:ind w:left="720" w:hanging="360"/>
        <w:rPr>
          <w:sz w:val="24"/>
          <w:szCs w:val="24"/>
        </w:rPr>
      </w:pPr>
      <w:r w:rsidDel="00000000" w:rsidR="00000000" w:rsidRPr="00000000">
        <w:rPr>
          <w:sz w:val="24"/>
          <w:szCs w:val="24"/>
          <w:rtl w:val="0"/>
        </w:rPr>
        <w:t xml:space="preserve">De dorpskern Landsmeer erg versteend is, waardoor de gevoelstemperatuur in onder andere 50% van de Havenzathe 46-50 graden celcius is op de warmste dagen van het jaar volgens het Kennisportaal Klimaatadaptatie (</w:t>
      </w:r>
      <w:hyperlink r:id="rId9">
        <w:r w:rsidDel="00000000" w:rsidR="00000000" w:rsidRPr="00000000">
          <w:rPr>
            <w:color w:val="1155cc"/>
            <w:sz w:val="24"/>
            <w:szCs w:val="24"/>
            <w:u w:val="single"/>
            <w:rtl w:val="0"/>
          </w:rPr>
          <w:t xml:space="preserve">klimaatadaptatienederland.nl</w:t>
        </w:r>
      </w:hyperlink>
      <w:r w:rsidDel="00000000" w:rsidR="00000000" w:rsidRPr="00000000">
        <w:rPr>
          <w:sz w:val="24"/>
          <w:szCs w:val="24"/>
          <w:rtl w:val="0"/>
        </w:rPr>
        <w:t xml:space="preserve">). Dat gebied moeten we niet willen uitbreiden. (Ter vergelijking: in het buitengebied is dat zo’n 7%). Inbreiden door klimaatbestendige en duurzame woning(ver-)bouw, met groene daken afgewisseld met zonnepanelen en groene tuinen, is veel efficiënter en het zorgt voor behoud van kwalitatief groen, zoals beschermd landschap. Het zorgt ook voor kansen voor uitbreiding van de biodiversiteit, wat een taak is vanaf 2030, zoals het uitbreiden van het leefgebied van de wilde bij;</w:t>
      </w:r>
      <w:r w:rsidDel="00000000" w:rsidR="00000000" w:rsidRPr="00000000">
        <w:rPr>
          <w:rtl w:val="0"/>
        </w:rPr>
      </w:r>
    </w:p>
    <w:p w:rsidR="00000000" w:rsidDel="00000000" w:rsidP="00000000" w:rsidRDefault="00000000" w:rsidRPr="00000000" w14:paraId="00000019">
      <w:pPr>
        <w:numPr>
          <w:ilvl w:val="0"/>
          <w:numId w:val="3"/>
        </w:numPr>
        <w:spacing w:after="0" w:lineRule="auto"/>
        <w:ind w:left="720" w:hanging="360"/>
        <w:rPr>
          <w:sz w:val="24"/>
          <w:szCs w:val="24"/>
        </w:rPr>
      </w:pPr>
      <w:r w:rsidDel="00000000" w:rsidR="00000000" w:rsidRPr="00000000">
        <w:rPr>
          <w:sz w:val="24"/>
          <w:szCs w:val="24"/>
          <w:rtl w:val="0"/>
        </w:rPr>
        <w:t xml:space="preserve">Vervanging van het Wijkpark betekent degradatie van de natuur, aangezien het decennia duurt alvorens de nieuwe elders aangeplante bomen evenveel beschutting tegen hitte geven en evenveel kooldioxide uit de lucht zuiveren in zuurstof;</w:t>
      </w:r>
    </w:p>
    <w:p w:rsidR="00000000" w:rsidDel="00000000" w:rsidP="00000000" w:rsidRDefault="00000000" w:rsidRPr="00000000" w14:paraId="0000001A">
      <w:pPr>
        <w:numPr>
          <w:ilvl w:val="0"/>
          <w:numId w:val="3"/>
        </w:numPr>
        <w:spacing w:after="0" w:lineRule="auto"/>
        <w:ind w:left="720" w:hanging="360"/>
        <w:rPr>
          <w:sz w:val="24"/>
          <w:szCs w:val="24"/>
          <w:u w:val="none"/>
        </w:rPr>
      </w:pPr>
      <w:r w:rsidDel="00000000" w:rsidR="00000000" w:rsidRPr="00000000">
        <w:rPr>
          <w:sz w:val="24"/>
          <w:szCs w:val="24"/>
          <w:rtl w:val="0"/>
        </w:rPr>
        <w:t xml:space="preserve">De totale boomkroonoppervlakte in heel Havenzathe nog geen 10 procent is. In de gehele gemeente Landsmeer is dit 9%. Dit moet volgens de Europese Natuurherstelwet minstens 30% worden vanaf 2030. Dat geldt voor alle gemeenten.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pBdr>
          <w:bottom w:color="000000" w:space="1" w:sz="4" w:val="single"/>
        </w:pBd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Besluit</w:t>
      </w:r>
    </w:p>
    <w:p w:rsidR="00000000" w:rsidDel="00000000" w:rsidP="00000000" w:rsidRDefault="00000000" w:rsidRPr="00000000" w14:paraId="0000001E">
      <w:pPr>
        <w:rPr>
          <w:b w:val="1"/>
          <w:bCs w:val="1"/>
        </w:rPr>
      </w:pPr>
      <w:r w:rsidDel="00000000" w:rsidR="00000000" w:rsidRPr="00000000">
        <w:rPr>
          <w:b w:val="1"/>
          <w:bCs w:val="1"/>
          <w:rtl w:val="0"/>
        </w:rPr>
        <w:t xml:space="preserve">het dictum </w:t>
      </w:r>
    </w:p>
    <w:p w:rsidR="00000000" w:rsidDel="00000000" w:rsidP="00000000" w:rsidRDefault="00000000" w:rsidRPr="00000000" w14:paraId="0000001F">
      <w:pPr>
        <w:numPr>
          <w:ilvl w:val="0"/>
          <w:numId w:val="1"/>
        </w:numPr>
        <w:spacing w:after="0" w:afterAutospacing="0"/>
        <w:ind w:left="720" w:hanging="360"/>
        <w:rPr>
          <w:b w:val="1"/>
          <w:bCs w:val="1"/>
          <w:u w:val="none"/>
        </w:rPr>
      </w:pPr>
      <w:r w:rsidDel="00000000" w:rsidR="00000000" w:rsidRPr="00000000">
        <w:rPr>
          <w:b w:val="1"/>
          <w:bCs w:val="1"/>
          <w:rtl w:val="0"/>
        </w:rPr>
        <w:t xml:space="preserve">Kennis te nemen van de Gebiedsverkenning Entree-Oost ;</w:t>
      </w:r>
    </w:p>
    <w:p w:rsidR="00000000" w:rsidDel="00000000" w:rsidP="00000000" w:rsidRDefault="00000000" w:rsidRPr="00000000" w14:paraId="00000020">
      <w:pPr>
        <w:numPr>
          <w:ilvl w:val="0"/>
          <w:numId w:val="1"/>
        </w:numPr>
        <w:ind w:left="720" w:hanging="360"/>
        <w:rPr>
          <w:b w:val="1"/>
          <w:bCs w:val="1"/>
          <w:u w:val="none"/>
        </w:rPr>
      </w:pPr>
      <w:r w:rsidDel="00000000" w:rsidR="00000000" w:rsidRPr="00000000">
        <w:rPr>
          <w:b w:val="1"/>
          <w:bCs w:val="1"/>
          <w:rtl w:val="0"/>
        </w:rPr>
        <w:t xml:space="preserve">De Gebiedsverkenning Entree-Oost vrij te geven voor participatie.</w:t>
      </w:r>
    </w:p>
    <w:p w:rsidR="00000000" w:rsidDel="00000000" w:rsidP="00000000" w:rsidRDefault="00000000" w:rsidRPr="00000000" w14:paraId="00000021">
      <w:pPr>
        <w:ind w:left="0" w:firstLine="0"/>
        <w:rPr>
          <w:b w:val="1"/>
          <w:bCs w:val="1"/>
        </w:rPr>
      </w:pPr>
      <w:r w:rsidDel="00000000" w:rsidR="00000000" w:rsidRPr="00000000">
        <w:rPr>
          <w:b w:val="1"/>
          <w:bCs w:val="1"/>
          <w:rtl w:val="0"/>
        </w:rPr>
        <w:t xml:space="preserve">te wijzigen in:</w:t>
      </w:r>
    </w:p>
    <w:p w:rsidR="00000000" w:rsidDel="00000000" w:rsidP="00000000" w:rsidRDefault="00000000" w:rsidRPr="00000000" w14:paraId="00000022">
      <w:pPr>
        <w:numPr>
          <w:ilvl w:val="0"/>
          <w:numId w:val="4"/>
        </w:numPr>
        <w:spacing w:after="0" w:afterAutospacing="0"/>
        <w:ind w:left="720" w:hanging="360"/>
        <w:rPr>
          <w:b w:val="1"/>
          <w:bCs w:val="1"/>
          <w:u w:val="none"/>
        </w:rPr>
      </w:pPr>
      <w:r w:rsidDel="00000000" w:rsidR="00000000" w:rsidRPr="00000000">
        <w:rPr>
          <w:b w:val="1"/>
          <w:bCs w:val="1"/>
          <w:rtl w:val="0"/>
        </w:rPr>
        <w:t xml:space="preserve">Te constateren dat Gebiedsverkenning Entree-Oost niet aan de Europese Natuurherstelwet 2024 voldoet en onze gemeentelijke natuurwaarden ernstig zal aantasten bij (gedeeltelijke) uitvoering;</w:t>
      </w:r>
    </w:p>
    <w:p w:rsidR="00000000" w:rsidDel="00000000" w:rsidP="00000000" w:rsidRDefault="00000000" w:rsidRPr="00000000" w14:paraId="00000023">
      <w:pPr>
        <w:numPr>
          <w:ilvl w:val="0"/>
          <w:numId w:val="4"/>
        </w:numPr>
        <w:ind w:left="720" w:hanging="360"/>
        <w:rPr>
          <w:b w:val="1"/>
          <w:bCs w:val="1"/>
          <w:u w:val="none"/>
        </w:rPr>
      </w:pPr>
      <w:r w:rsidDel="00000000" w:rsidR="00000000" w:rsidRPr="00000000">
        <w:rPr>
          <w:b w:val="1"/>
          <w:bCs w:val="1"/>
          <w:rtl w:val="0"/>
        </w:rPr>
        <w:t xml:space="preserve">De Gebiedsverkenning Entree-Oost af te keuren en niet vrij te geven voor participatie.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Bdr>
          <w:bottom w:color="000000" w:space="1" w:sz="4" w:val="single"/>
        </w:pBdr>
        <w:rPr/>
      </w:pPr>
      <w:r w:rsidDel="00000000" w:rsidR="00000000" w:rsidRPr="00000000">
        <w:rPr>
          <w:rtl w:val="0"/>
        </w:rPr>
      </w:r>
    </w:p>
    <w:tbl>
      <w:tblPr>
        <w:tblStyle w:val="Table2"/>
        <w:tblW w:w="8419.0" w:type="dxa"/>
        <w:jc w:val="left"/>
        <w:tblBorders>
          <w:top w:color="000000" w:space="0" w:sz="18" w:val="single"/>
        </w:tblBorders>
        <w:tblLayout w:type="fixed"/>
        <w:tblLook w:val="0000"/>
      </w:tblPr>
      <w:tblGrid>
        <w:gridCol w:w="8419"/>
        <w:tblGridChange w:id="0">
          <w:tblGrid>
            <w:gridCol w:w="8419"/>
          </w:tblGrid>
        </w:tblGridChange>
      </w:tblGrid>
      <w:tr>
        <w:trPr>
          <w:cantSplit w:val="0"/>
          <w:trHeight w:val="397" w:hRule="atLeast"/>
          <w:tblHeader w:val="0"/>
        </w:trPr>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 gaat over tot de orde van de dag, </w:t>
            </w:r>
          </w:p>
        </w:tc>
      </w:tr>
      <w:tr>
        <w:trPr>
          <w:cantSplit w:val="0"/>
          <w:trHeight w:val="20" w:hRule="atLeast"/>
          <w:tblHeader w:val="0"/>
        </w:trPr>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Ondertekening door fractievoorzitters van de partijen die het amendement indienen: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sz w:val="24"/>
                <w:szCs w:val="24"/>
                <w:rtl w:val="0"/>
              </w:rPr>
              <w:t xml:space="preserve">Maartje Greunsven, GroenLinks Landsmeer</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sz w:val="24"/>
                <w:szCs w:val="24"/>
                <w:rtl w:val="0"/>
              </w:rPr>
              <w:t xml:space="preserve">Mark Jan Prins, PvdA Landsmeer</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7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Amendementen aanleveren bij de griffie vóór 12:00 uur op de dinsdag voorafgaand aan de raadsvergadering.</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Amendementen voorzien van handtekening voorafgaand aan de raadsvergadering indienen bij de griffier.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klimaatadaptatienederland.n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